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транспортные системы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транспортные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«Международные транспортные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транспортные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оказания логистической услуги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мониторинга рынка подрядчиков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определения списка необходимых услуг на транспортном рынке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определения списка необходимых услуг на транспортном рынке, контроля оплаты счетов подрядчика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«Международные транспортные системы»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место и значение транспорта во внешней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Правовое регулирование международных транспортных перевозок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Международные транспортные коридоры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Регулирование международных перевозок таможенным законодательством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Страхование при международных перевозках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17.42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место и значение транспорта во внешней торговле.</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Транспортное обеспечение внешнеэкономических связей. Экспорт транспортных услуг. Транспортные операции во внешнеэкономической деятельности, их понятие и классификация. Мониторинг грузопотоков. Международные организации, действующие на разных видах транспорта (мпо , мнпо)</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Правовое регулирование международных транспортных перевозок грузов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Дорожная сеть и выбор маршрутов движения</w:t>
            </w:r>
          </w:p>
          <w:p>
            <w:pPr>
              <w:jc w:val="both"/>
              <w:spacing w:after="0" w:line="240" w:lineRule="auto"/>
              <w:rPr>
                <w:sz w:val="24"/>
                <w:szCs w:val="24"/>
              </w:rPr>
            </w:pPr>
            <w:r>
              <w:rPr>
                <w:rFonts w:ascii="Times New Roman" w:hAnsi="Times New Roman" w:cs="Times New Roman"/>
                <w:color w:val="#000000"/>
                <w:sz w:val="24"/>
                <w:szCs w:val="24"/>
              </w:rPr>
              <w:t> Организация перевозок в международном сообщении</w:t>
            </w:r>
          </w:p>
          <w:p>
            <w:pPr>
              <w:jc w:val="both"/>
              <w:spacing w:after="0" w:line="240" w:lineRule="auto"/>
              <w:rPr>
                <w:sz w:val="24"/>
                <w:szCs w:val="24"/>
              </w:rPr>
            </w:pPr>
            <w:r>
              <w:rPr>
                <w:rFonts w:ascii="Times New Roman" w:hAnsi="Times New Roman" w:cs="Times New Roman"/>
                <w:color w:val="#000000"/>
                <w:sz w:val="24"/>
                <w:szCs w:val="24"/>
              </w:rPr>
              <w:t> Организация труда и отдыха водителей</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международных перевозок</w:t>
            </w:r>
          </w:p>
          <w:p>
            <w:pPr>
              <w:jc w:val="both"/>
              <w:spacing w:after="0" w:line="240" w:lineRule="auto"/>
              <w:rPr>
                <w:sz w:val="24"/>
                <w:szCs w:val="24"/>
              </w:rPr>
            </w:pPr>
            <w:r>
              <w:rPr>
                <w:rFonts w:ascii="Times New Roman" w:hAnsi="Times New Roman" w:cs="Times New Roman"/>
                <w:color w:val="#000000"/>
                <w:sz w:val="24"/>
                <w:szCs w:val="24"/>
              </w:rPr>
              <w:t> Организация пассажирских перевозок</w:t>
            </w:r>
          </w:p>
          <w:p>
            <w:pPr>
              <w:jc w:val="both"/>
              <w:spacing w:after="0" w:line="240" w:lineRule="auto"/>
              <w:rPr>
                <w:sz w:val="24"/>
                <w:szCs w:val="24"/>
              </w:rPr>
            </w:pPr>
            <w:r>
              <w:rPr>
                <w:rFonts w:ascii="Times New Roman" w:hAnsi="Times New Roman" w:cs="Times New Roman"/>
                <w:color w:val="#000000"/>
                <w:sz w:val="24"/>
                <w:szCs w:val="24"/>
              </w:rPr>
              <w:t> Система международных соглашений</w:t>
            </w:r>
          </w:p>
          <w:p>
            <w:pPr>
              <w:jc w:val="both"/>
              <w:spacing w:after="0" w:line="240" w:lineRule="auto"/>
              <w:rPr>
                <w:sz w:val="24"/>
                <w:szCs w:val="24"/>
              </w:rPr>
            </w:pPr>
            <w:r>
              <w:rPr>
                <w:rFonts w:ascii="Times New Roman" w:hAnsi="Times New Roman" w:cs="Times New Roman"/>
                <w:color w:val="#000000"/>
                <w:sz w:val="24"/>
                <w:szCs w:val="24"/>
              </w:rPr>
              <w:t> Конвенция о договоре международной перевозки грузов</w:t>
            </w:r>
          </w:p>
          <w:p>
            <w:pPr>
              <w:jc w:val="both"/>
              <w:spacing w:after="0" w:line="240" w:lineRule="auto"/>
              <w:rPr>
                <w:sz w:val="24"/>
                <w:szCs w:val="24"/>
              </w:rPr>
            </w:pPr>
            <w:r>
              <w:rPr>
                <w:rFonts w:ascii="Times New Roman" w:hAnsi="Times New Roman" w:cs="Times New Roman"/>
                <w:color w:val="#000000"/>
                <w:sz w:val="24"/>
                <w:szCs w:val="24"/>
              </w:rPr>
              <w:t> Таможенная конвенция о международной перевозке грузов с применением книжки МДП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международных автомобильных перевозок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Регулирование взаимоотношений водителей с должностными лицами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перевозок пассажиров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Международные транспортные коридоры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коридор-это</w:t>
            </w:r>
          </w:p>
          <w:p>
            <w:pPr>
              <w:jc w:val="both"/>
              <w:spacing w:after="0" w:line="240" w:lineRule="auto"/>
              <w:rPr>
                <w:sz w:val="24"/>
                <w:szCs w:val="24"/>
              </w:rPr>
            </w:pPr>
            <w:r>
              <w:rPr>
                <w:rFonts w:ascii="Times New Roman" w:hAnsi="Times New Roman" w:cs="Times New Roman"/>
                <w:color w:val="#000000"/>
                <w:sz w:val="24"/>
                <w:szCs w:val="24"/>
              </w:rPr>
              <w:t> Панъевропейские транспортные коридоры</w:t>
            </w:r>
          </w:p>
          <w:p>
            <w:pPr>
              <w:jc w:val="both"/>
              <w:spacing w:after="0" w:line="240" w:lineRule="auto"/>
              <w:rPr>
                <w:sz w:val="24"/>
                <w:szCs w:val="24"/>
              </w:rPr>
            </w:pPr>
            <w:r>
              <w:rPr>
                <w:rFonts w:ascii="Times New Roman" w:hAnsi="Times New Roman" w:cs="Times New Roman"/>
                <w:color w:val="#000000"/>
                <w:sz w:val="24"/>
                <w:szCs w:val="24"/>
              </w:rPr>
              <w:t> Транспортные коридоры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Регулирование международных перевозок таможенным законодательством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таможенного оформления</w:t>
            </w:r>
          </w:p>
          <w:p>
            <w:pPr>
              <w:jc w:val="both"/>
              <w:spacing w:after="0" w:line="240" w:lineRule="auto"/>
              <w:rPr>
                <w:sz w:val="24"/>
                <w:szCs w:val="24"/>
              </w:rPr>
            </w:pPr>
            <w:r>
              <w:rPr>
                <w:rFonts w:ascii="Times New Roman" w:hAnsi="Times New Roman" w:cs="Times New Roman"/>
                <w:color w:val="#000000"/>
                <w:sz w:val="24"/>
                <w:szCs w:val="24"/>
              </w:rPr>
              <w:t> Порядок таможенного оформления грузов</w:t>
            </w:r>
          </w:p>
          <w:p>
            <w:pPr>
              <w:jc w:val="both"/>
              <w:spacing w:after="0" w:line="240" w:lineRule="auto"/>
              <w:rPr>
                <w:sz w:val="24"/>
                <w:szCs w:val="24"/>
              </w:rPr>
            </w:pPr>
            <w:r>
              <w:rPr>
                <w:rFonts w:ascii="Times New Roman" w:hAnsi="Times New Roman" w:cs="Times New Roman"/>
                <w:color w:val="#000000"/>
                <w:sz w:val="24"/>
                <w:szCs w:val="24"/>
              </w:rPr>
              <w:t> Необходимые документы для прохождения таможенного контроля</w:t>
            </w:r>
          </w:p>
          <w:p>
            <w:pPr>
              <w:jc w:val="both"/>
              <w:spacing w:after="0" w:line="240" w:lineRule="auto"/>
              <w:rPr>
                <w:sz w:val="24"/>
                <w:szCs w:val="24"/>
              </w:rPr>
            </w:pPr>
            <w:r>
              <w:rPr>
                <w:rFonts w:ascii="Times New Roman" w:hAnsi="Times New Roman" w:cs="Times New Roman"/>
                <w:color w:val="#000000"/>
                <w:sz w:val="24"/>
                <w:szCs w:val="24"/>
              </w:rPr>
              <w:t> Тарифы ФТС</w:t>
            </w:r>
          </w:p>
          <w:p>
            <w:pPr>
              <w:jc w:val="both"/>
              <w:spacing w:after="0" w:line="240" w:lineRule="auto"/>
              <w:rPr>
                <w:sz w:val="24"/>
                <w:szCs w:val="24"/>
              </w:rPr>
            </w:pPr>
            <w:r>
              <w:rPr>
                <w:rFonts w:ascii="Times New Roman" w:hAnsi="Times New Roman" w:cs="Times New Roman"/>
                <w:color w:val="#000000"/>
                <w:sz w:val="24"/>
                <w:szCs w:val="24"/>
              </w:rPr>
              <w:t> Сроки оформления на таможне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Страхование при международных перевозках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транспортировке грузов.</w:t>
            </w:r>
          </w:p>
          <w:p>
            <w:pPr>
              <w:jc w:val="both"/>
              <w:spacing w:after="0" w:line="240" w:lineRule="auto"/>
              <w:rPr>
                <w:sz w:val="24"/>
                <w:szCs w:val="24"/>
              </w:rPr>
            </w:pPr>
            <w:r>
              <w:rPr>
                <w:rFonts w:ascii="Times New Roman" w:hAnsi="Times New Roman" w:cs="Times New Roman"/>
                <w:color w:val="#000000"/>
                <w:sz w:val="24"/>
                <w:szCs w:val="24"/>
              </w:rPr>
              <w:t> Случаи не признающиеся страховыми</w:t>
            </w:r>
          </w:p>
          <w:p>
            <w:pPr>
              <w:jc w:val="both"/>
              <w:spacing w:after="0" w:line="240" w:lineRule="auto"/>
              <w:rPr>
                <w:sz w:val="24"/>
                <w:szCs w:val="24"/>
              </w:rPr>
            </w:pPr>
            <w:r>
              <w:rPr>
                <w:rFonts w:ascii="Times New Roman" w:hAnsi="Times New Roman" w:cs="Times New Roman"/>
                <w:color w:val="#000000"/>
                <w:sz w:val="24"/>
                <w:szCs w:val="24"/>
              </w:rPr>
              <w:t> Договор страхования грузов</w:t>
            </w:r>
          </w:p>
          <w:p>
            <w:pPr>
              <w:jc w:val="both"/>
              <w:spacing w:after="0" w:line="240" w:lineRule="auto"/>
              <w:rPr>
                <w:sz w:val="24"/>
                <w:szCs w:val="24"/>
              </w:rPr>
            </w:pPr>
            <w:r>
              <w:rPr>
                <w:rFonts w:ascii="Times New Roman" w:hAnsi="Times New Roman" w:cs="Times New Roman"/>
                <w:color w:val="#000000"/>
                <w:sz w:val="24"/>
                <w:szCs w:val="24"/>
              </w:rPr>
              <w:t> Стоимость страхования грузов</w:t>
            </w:r>
          </w:p>
          <w:p>
            <w:pPr>
              <w:jc w:val="both"/>
              <w:spacing w:after="0" w:line="240" w:lineRule="auto"/>
              <w:rPr>
                <w:sz w:val="24"/>
                <w:szCs w:val="24"/>
              </w:rPr>
            </w:pPr>
            <w:r>
              <w:rPr>
                <w:rFonts w:ascii="Times New Roman" w:hAnsi="Times New Roman" w:cs="Times New Roman"/>
                <w:color w:val="#000000"/>
                <w:sz w:val="24"/>
                <w:szCs w:val="24"/>
              </w:rPr>
              <w:t> Схемы страхования груза при международных перевозках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транспортные системы»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Гаранин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http://www.iprbookshop.ru/47938.html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2023-2024_ФГОС3++2023_Бак-ОЗФО-Мен_(ЛиУЗ)(23)_plx_Международные транспортные системы</dc:title>
  <dc:creator>FastReport.NET</dc:creator>
</cp:coreProperties>
</file>